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framePr w:w="11321" w:h="1462" w:wrap="auto" w:vAnchor="margin" w:hAnchor="page" w:x="43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Arial Unicode MS" w:hAnsi="宋体" w:eastAsia="Arial Unicode MS" w:cs="宋体"/>
          <w:b/>
          <w:bCs/>
          <w:i w:val="0"/>
          <w:iCs w:val="0"/>
          <w:smallCaps w:val="0"/>
          <w:strike w:val="0"/>
          <w:color w:val="auto"/>
          <w:spacing w:val="-28"/>
          <w:w w:val="100"/>
          <w:position w:val="0"/>
          <w:sz w:val="84"/>
          <w:szCs w:val="84"/>
          <w:u w:val="none"/>
          <w:shd w:val="clear"/>
          <w:lang w:val="zh-CN" w:eastAsia="zh-CN" w:bidi="zh-CN"/>
        </w:rPr>
      </w:pPr>
      <w:bookmarkStart w:id="0" w:name="bookmark0"/>
      <w:bookmarkStart w:id="1" w:name="bookmark1"/>
      <w:bookmarkStart w:id="2" w:name="bookmark2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mallCaps w:val="0"/>
          <w:strike w:val="0"/>
          <w:color w:val="auto"/>
          <w:spacing w:val="-28"/>
          <w:w w:val="100"/>
          <w:position w:val="0"/>
          <w:sz w:val="84"/>
          <w:szCs w:val="84"/>
          <w:u w:val="none"/>
          <w:shd w:val="clear"/>
          <w:lang w:val="zh-CN" w:eastAsia="zh-CN" w:bidi="zh-CN"/>
        </w:rPr>
        <w:t>广元</w:t>
      </w:r>
      <w:bookmarkEnd w:id="0"/>
      <w:bookmarkEnd w:id="1"/>
      <w:bookmarkEnd w:id="2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mallCaps w:val="0"/>
          <w:strike w:val="0"/>
          <w:color w:val="auto"/>
          <w:spacing w:val="-28"/>
          <w:w w:val="100"/>
          <w:position w:val="0"/>
          <w:sz w:val="84"/>
          <w:szCs w:val="84"/>
          <w:u w:val="none"/>
          <w:shd w:val="clear"/>
          <w:lang w:val="zh-CN" w:eastAsia="zh-CN" w:bidi="zh-CN"/>
        </w:rPr>
        <w:t>市市场监督管理局文件</w:t>
      </w:r>
    </w:p>
    <w:p>
      <w:pPr>
        <w:widowControl w:val="0"/>
        <w:spacing w:line="360" w:lineRule="exact"/>
        <w:rPr>
          <w:b/>
          <w:bCs/>
          <w:sz w:val="72"/>
          <w:szCs w:val="72"/>
        </w:rPr>
      </w:pPr>
    </w:p>
    <w:p>
      <w:pPr>
        <w:widowControl w:val="0"/>
        <w:spacing w:line="360" w:lineRule="exact"/>
      </w:pPr>
    </w:p>
    <w:p>
      <w:pPr>
        <w:widowControl w:val="0"/>
        <w:spacing w:line="1" w:lineRule="exact"/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4256" w:right="1400" w:bottom="1151" w:left="1436" w:header="0" w:footer="3" w:gutter="0"/>
          <w:pgNumType w:start="1"/>
          <w:cols w:space="720" w:num="1"/>
          <w:titlePg/>
          <w:rtlGutter w:val="0"/>
          <w:docGrid w:linePitch="360" w:charSpace="0"/>
        </w:sect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2386" w:right="0" w:bottom="1662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4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1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广市监发〔</w:t>
      </w:r>
      <w:r>
        <w:rPr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56</w:t>
      </w:r>
      <w:r>
        <w:rPr>
          <w:color w:val="000000"/>
          <w:spacing w:val="0"/>
          <w:w w:val="100"/>
          <w:position w:val="0"/>
        </w:rPr>
        <w:t>号</w:t>
      </w:r>
    </w:p>
    <w:p>
      <w:pPr>
        <w:keepNext w:val="0"/>
        <w:keepLines w:val="0"/>
        <w:shd w:val="clear"/>
        <w:autoSpaceDE/>
        <w:autoSpaceDN/>
        <w:bidi w:val="0"/>
        <w:spacing w:before="0" w:after="0" w:line="576" w:lineRule="exact"/>
        <w:ind w:left="0" w:right="0" w:firstLine="0"/>
        <w:jc w:val="center"/>
        <w:rPr>
          <w:rFonts w:hint="eastAsia" w:ascii="黑体" w:hAnsi="黑体" w:eastAsia="黑体" w:cs="黑体"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</w:pPr>
      <w:bookmarkStart w:id="3" w:name="bookmark8"/>
      <w:bookmarkStart w:id="4" w:name="bookmark6"/>
      <w:bookmarkStart w:id="5" w:name="bookmark7"/>
      <w:r>
        <w:rPr>
          <w:rFonts w:hint="eastAsia" w:ascii="黑体" w:hAnsi="黑体" w:eastAsia="黑体" w:cs="黑体"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  <w:t>广元市市场监督管理局</w:t>
      </w:r>
      <w:bookmarkEnd w:id="3"/>
    </w:p>
    <w:p>
      <w:pPr>
        <w:keepNext w:val="0"/>
        <w:keepLines w:val="0"/>
        <w:shd w:val="clear"/>
        <w:autoSpaceDE/>
        <w:autoSpaceDN/>
        <w:bidi w:val="0"/>
        <w:spacing w:before="0" w:after="0" w:line="576" w:lineRule="exact"/>
        <w:ind w:left="0" w:right="0" w:firstLine="0"/>
        <w:jc w:val="center"/>
        <w:rPr>
          <w:rFonts w:hint="eastAsia" w:ascii="黑体" w:hAnsi="黑体" w:eastAsia="黑体" w:cs="黑体"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</w:pPr>
      <w:bookmarkStart w:id="6" w:name="bookmark9"/>
      <w:r>
        <w:rPr>
          <w:rFonts w:hint="eastAsia" w:ascii="黑体" w:hAnsi="黑体" w:eastAsia="黑体" w:cs="黑体"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  <w:t>关于做好</w:t>
      </w:r>
      <w:r>
        <w:rPr>
          <w:rFonts w:hint="eastAsia" w:ascii="黑体" w:hAnsi="黑体" w:eastAsia="黑体" w:cs="黑体"/>
          <w:spacing w:val="0"/>
          <w:w w:val="100"/>
          <w:kern w:val="2"/>
          <w:position w:val="0"/>
          <w:sz w:val="44"/>
          <w:szCs w:val="44"/>
          <w:shd w:val="clear"/>
          <w:lang w:val="zh-CN" w:eastAsia="zh-CN" w:bidi="ar-SA"/>
        </w:rPr>
        <w:t>“获得</w:t>
      </w:r>
      <w:r>
        <w:rPr>
          <w:rFonts w:hint="eastAsia" w:ascii="黑体" w:hAnsi="黑体" w:eastAsia="黑体" w:cs="黑体"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  <w:t>电力”营商环境计量投诉处理</w:t>
      </w:r>
    </w:p>
    <w:p>
      <w:pPr>
        <w:keepNext w:val="0"/>
        <w:keepLines w:val="0"/>
        <w:shd w:val="clear"/>
        <w:autoSpaceDE/>
        <w:autoSpaceDN/>
        <w:bidi w:val="0"/>
        <w:spacing w:before="0" w:after="0" w:line="576" w:lineRule="exact"/>
        <w:ind w:left="0" w:right="0" w:firstLine="0"/>
        <w:jc w:val="center"/>
        <w:rPr>
          <w:rFonts w:hint="eastAsia" w:ascii="黑体" w:hAnsi="黑体" w:eastAsia="黑体" w:cs="黑体"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  <w:t>工作的通知</w:t>
      </w:r>
      <w:bookmarkEnd w:id="4"/>
      <w:bookmarkEnd w:id="5"/>
      <w:bookmarkEnd w:id="6"/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shd w:val="clear"/>
        <w:autoSpaceDE w:val="0"/>
        <w:autoSpaceDN w:val="0"/>
        <w:bidi w:val="0"/>
        <w:spacing w:before="1" w:line="340" w:lineRule="auto"/>
        <w:ind w:left="108" w:right="274" w:firstLine="0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各县区市场监管局、经开区分局，市计量检定测试所：</w:t>
      </w:r>
    </w:p>
    <w:p>
      <w:pPr>
        <w:pStyle w:val="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41" w:lineRule="auto"/>
        <w:ind w:left="108" w:right="272" w:firstLine="640" w:firstLineChars="200"/>
        <w:textAlignment w:val="auto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按照市委、市政府优化营商环境决策部署，为全面提升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zh-CN" w:eastAsia="zh-CN" w:bidi="ar-SA"/>
        </w:rPr>
        <w:t>“获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得电力”服务水平，根据广元市发展和改革委员会《关于印发 2021年广元市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zh-CN" w:eastAsia="zh-CN" w:bidi="ar-SA"/>
        </w:rPr>
        <w:t>“获得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电力”营商环境建设整改提升工作任务责任分工的通知》要求，结合本局工作职责，就有关事项通知如下: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700"/>
        <w:jc w:val="both"/>
        <w:rPr>
          <w:rFonts w:hint="eastAsia" w:ascii="黑体" w:hAnsi="黑体" w:eastAsia="黑体" w:cs="AR PL UKai CN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  <w:bookmarkStart w:id="7" w:name="bookmark10"/>
      <w:r>
        <w:rPr>
          <w:rFonts w:hint="eastAsia" w:ascii="黑体" w:hAnsi="黑体" w:eastAsia="黑体" w:cs="AR PL UKai CN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一</w:t>
      </w:r>
      <w:bookmarkEnd w:id="7"/>
      <w:r>
        <w:rPr>
          <w:rFonts w:hint="eastAsia" w:ascii="黑体" w:hAnsi="黑体" w:eastAsia="黑体" w:cs="AR PL UKai CN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、工作目标</w:t>
      </w:r>
    </w:p>
    <w:p>
      <w:pPr>
        <w:pStyle w:val="3"/>
        <w:keepNext w:val="0"/>
        <w:keepLines w:val="0"/>
        <w:shd w:val="clear"/>
        <w:autoSpaceDE w:val="0"/>
        <w:autoSpaceDN w:val="0"/>
        <w:bidi w:val="0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 xml:space="preserve">一是根据省市场监管局印发的《12315投诉举报处理工作规 则实施细则（试行）》，进一步加强12315投诉举报平台建设，规 范市场监督管理投诉举报受理、登记、分流工作。二是健全、完善计量监管体系，提升计量投诉处置能力和水平。三是加强计量管理人员、检定人员业务培训，不断提升法定计量技术机构工作质量。四是加强市、县两级社会公用计量标准的规划建设，进一步加大新增强制检定项目支持力度，有效利用社会资源，为全市 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zh-CN" w:eastAsia="zh-CN" w:bidi="ar-SA"/>
        </w:rPr>
        <w:t>“获得</w:t>
      </w:r>
      <w:r>
        <w:rPr>
          <w:rFonts w:hint="eastAsia" w:ascii="仿宋_GB2312" w:hAnsi="Calibri" w:eastAsia="仿宋_GB2312" w:cs="AR PL UKai CN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电力”领域法制计量管理和经济社会发展提供技术保障。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sz w:val="32"/>
          <w:szCs w:val="32"/>
        </w:rPr>
      </w:pPr>
      <w:bookmarkStart w:id="8" w:name="bookmark11"/>
      <w:r>
        <w:rPr>
          <w:rFonts w:hint="eastAsia" w:ascii="黑体" w:hAnsi="黑体" w:eastAsia="黑体" w:cs="AR PL UKai CN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二</w:t>
      </w:r>
      <w:bookmarkEnd w:id="8"/>
      <w:r>
        <w:rPr>
          <w:rFonts w:hint="eastAsia" w:ascii="黑体" w:hAnsi="黑体" w:eastAsia="黑体" w:cs="AR PL UKai CN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、工作重点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6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/>
        <w:jc w:val="left"/>
        <w:textAlignment w:val="auto"/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bookmarkStart w:id="9" w:name="bookmark12"/>
      <w:r>
        <w:rPr>
          <w:rFonts w:hint="eastAsia" w:ascii="仿宋_GB2312" w:hAnsi="Calibri" w:eastAsia="仿宋_GB2312" w:cs="AR PL UKai C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（</w:t>
      </w:r>
      <w:bookmarkEnd w:id="9"/>
      <w:r>
        <w:rPr>
          <w:rFonts w:hint="eastAsia" w:ascii="仿宋_GB2312" w:hAnsi="Calibri" w:eastAsia="仿宋_GB2312" w:cs="AR PL UKai C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一）受理</w:t>
      </w:r>
      <w:r>
        <w:rPr>
          <w:rFonts w:hint="eastAsia" w:ascii="仿宋_GB2312" w:hAnsi="Calibri" w:eastAsia="仿宋_GB2312" w:cs="AR PL UKai C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ar-SA"/>
        </w:rPr>
        <w:t>“获得</w:t>
      </w:r>
      <w:r>
        <w:rPr>
          <w:rFonts w:hint="eastAsia" w:ascii="仿宋_GB2312" w:hAnsi="Calibri" w:eastAsia="仿宋_GB2312" w:cs="AR PL UKai C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电力”领域计量投诉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20"/>
        <w:jc w:val="both"/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各级市场监管部门在接到</w:t>
      </w: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ar-SA"/>
        </w:rPr>
        <w:t>“获</w:t>
      </w: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得电力</w:t>
      </w: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ar-SA"/>
        </w:rPr>
        <w:t>”领</w:t>
      </w: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域计量相关投诉后， 要按照《12315投诉举报处理工作规则实施细则（试行）》规定， 进行分流处理，按规定时间初查反馈和办理完毕后，将处理结果直接录入12315平台；投诉处理中发现有违法违规行为的，按照有关法律法规依法进行处理，并将处理结果报市局计量科。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6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/>
        <w:jc w:val="left"/>
        <w:textAlignment w:val="auto"/>
        <w:rPr>
          <w:rFonts w:hint="eastAsia" w:ascii="仿宋_GB2312" w:hAnsi="Calibri" w:eastAsia="仿宋_GB2312" w:cs="AR PL UKai C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bookmarkStart w:id="10" w:name="bookmark13"/>
      <w:r>
        <w:rPr>
          <w:rFonts w:hint="eastAsia" w:ascii="仿宋_GB2312" w:hAnsi="Calibri" w:eastAsia="仿宋_GB2312" w:cs="AR PL UKai C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（</w:t>
      </w:r>
      <w:bookmarkEnd w:id="10"/>
      <w:r>
        <w:rPr>
          <w:rFonts w:hint="eastAsia" w:ascii="仿宋_GB2312" w:hAnsi="Calibri" w:eastAsia="仿宋_GB2312" w:cs="AR PL UKai C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二）开展</w:t>
      </w:r>
      <w:r>
        <w:rPr>
          <w:rFonts w:hint="eastAsia" w:ascii="仿宋_GB2312" w:hAnsi="Calibri" w:eastAsia="仿宋_GB2312" w:cs="AR PL UKai C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ar-SA"/>
        </w:rPr>
        <w:t>“获</w:t>
      </w:r>
      <w:r>
        <w:rPr>
          <w:rFonts w:hint="eastAsia" w:ascii="仿宋_GB2312" w:hAnsi="Calibri" w:eastAsia="仿宋_GB2312" w:cs="AR PL UKai C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得电力</w:t>
      </w:r>
      <w:r>
        <w:rPr>
          <w:rFonts w:hint="eastAsia" w:ascii="仿宋_GB2312" w:hAnsi="Calibri" w:eastAsia="仿宋_GB2312" w:cs="AR PL UKai C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ar-SA"/>
        </w:rPr>
        <w:t>”领域</w:t>
      </w:r>
      <w:r>
        <w:rPr>
          <w:rFonts w:hint="eastAsia" w:ascii="仿宋_GB2312" w:hAnsi="Calibri" w:eastAsia="仿宋_GB2312" w:cs="AR PL UKai C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计量监督检查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20"/>
        <w:jc w:val="both"/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对辖区内的</w:t>
      </w: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ar-SA"/>
        </w:rPr>
        <w:t>“获</w:t>
      </w: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得电力</w:t>
      </w: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ar-SA"/>
        </w:rPr>
        <w:t>”领</w:t>
      </w: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域的计量器具进行监督检查，重点检查在用计量器具的计量检定证书是否在有效期内；是否在计 量器具显著位置粘贴了检定合格证；铅封是否完好；是否存在擅自改动或拆装计量器具。严厉打击使用不合格计量器具、破坏计量器具准确度或伪造数据等计量违法行为。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6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/>
        <w:jc w:val="left"/>
        <w:textAlignment w:val="auto"/>
        <w:rPr>
          <w:rFonts w:hint="eastAsia" w:ascii="仿宋_GB2312" w:hAnsi="Calibri" w:eastAsia="仿宋_GB2312" w:cs="AR PL UKai C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bookmarkStart w:id="11" w:name="bookmark14"/>
      <w:r>
        <w:rPr>
          <w:rFonts w:hint="eastAsia" w:ascii="仿宋_GB2312" w:hAnsi="Calibri" w:eastAsia="仿宋_GB2312" w:cs="AR PL UKai C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（</w:t>
      </w:r>
      <w:bookmarkEnd w:id="11"/>
      <w:r>
        <w:rPr>
          <w:rFonts w:hint="eastAsia" w:ascii="仿宋_GB2312" w:hAnsi="Calibri" w:eastAsia="仿宋_GB2312" w:cs="AR PL UKai C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三）开展</w:t>
      </w:r>
      <w:r>
        <w:rPr>
          <w:rFonts w:hint="eastAsia" w:ascii="仿宋_GB2312" w:hAnsi="Calibri" w:eastAsia="仿宋_GB2312" w:cs="AR PL UKai C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ar-SA"/>
        </w:rPr>
        <w:t>“获得</w:t>
      </w:r>
      <w:r>
        <w:rPr>
          <w:rFonts w:hint="eastAsia" w:ascii="仿宋_GB2312" w:hAnsi="Calibri" w:eastAsia="仿宋_GB2312" w:cs="AR PL UKai C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电力”领域计量服务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20"/>
        <w:jc w:val="left"/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bookmarkStart w:id="16" w:name="_GoBack"/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对供电企业开展计量技术服务，促进企业对计量工作的重视, 切实提高计量法律法规的意识，提升企业人员计量管理知识水平。指导、帮助供电企业建立健全内部计量管理制度，确保电能计量更加透明、公正。</w:t>
      </w:r>
    </w:p>
    <w:bookmarkEnd w:id="16"/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right="0" w:firstLine="660"/>
        <w:jc w:val="both"/>
        <w:rPr>
          <w:sz w:val="32"/>
          <w:szCs w:val="32"/>
        </w:rPr>
      </w:pPr>
      <w:bookmarkStart w:id="12" w:name="bookmark15"/>
      <w:r>
        <w:rPr>
          <w:rFonts w:hint="eastAsia" w:ascii="黑体" w:hAnsi="黑体" w:eastAsia="黑体" w:cs="AR PL UKai CN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三</w:t>
      </w:r>
      <w:bookmarkEnd w:id="12"/>
      <w:r>
        <w:rPr>
          <w:rFonts w:hint="eastAsia" w:ascii="黑体" w:hAnsi="黑体" w:eastAsia="黑体" w:cs="AR PL UKai CN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、工作要求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20"/>
        <w:jc w:val="left"/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bookmarkStart w:id="13" w:name="bookmark16"/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（</w:t>
      </w:r>
      <w:bookmarkEnd w:id="13"/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一）高度重视、突出重点。各单位应对</w:t>
      </w: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ar-SA"/>
        </w:rPr>
        <w:t>“获得</w:t>
      </w: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电力”领域计量工作高度重视，切实加强领导、沟通交流和协调配合，围绕广元市</w:t>
      </w: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ar-SA"/>
        </w:rPr>
        <w:t>“获得</w:t>
      </w: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电力”营商环境建设整改提升工作制定详细工作计划，落实工作责任，扎实开展工作，确保完成目标任务。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20"/>
        <w:jc w:val="left"/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bookmarkStart w:id="14" w:name="bookmark17"/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（</w:t>
      </w:r>
      <w:bookmarkEnd w:id="14"/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二）强化责任意识。按照相关法律法规要求，各供电单位是</w:t>
      </w: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ar-SA"/>
        </w:rPr>
        <w:t>“获得</w:t>
      </w: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电力”领域计量工作的责任主体。各级计量技术机构要发挥技术保障作用，提供计量检定、校准、咨询等技术服务，承担或参与审查工作。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20"/>
        <w:jc w:val="left"/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bookmarkStart w:id="15" w:name="bookmark18"/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（</w:t>
      </w:r>
      <w:bookmarkEnd w:id="15"/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三）宣传发动，激励引导。各单位要通过各种宣传方式加大对企业计量重要性的宣传，结合</w:t>
      </w: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ar-SA"/>
        </w:rPr>
        <w:t>“我为</w:t>
      </w: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群众办实事”等活动深入开展电能计量宣传活动，进一步提高全社会对用电接入政策措 施的知晓度和用电获得感。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20"/>
        <w:jc w:val="left"/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20"/>
        <w:jc w:val="left"/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20"/>
        <w:jc w:val="left"/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20"/>
        <w:jc w:val="left"/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                          广元市市场监督管理局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20"/>
        <w:jc w:val="left"/>
        <w:rPr>
          <w:rFonts w:hint="default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Calibri" w:eastAsia="仿宋_GB2312" w:cs="AR PL UKai C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                             2021年7月2日</w:t>
      </w:r>
    </w:p>
    <w:p>
      <w:pPr>
        <w:widowControl w:val="0"/>
        <w:jc w:val="center"/>
        <w:rPr>
          <w:sz w:val="2"/>
          <w:szCs w:val="2"/>
        </w:rPr>
      </w:pPr>
    </w:p>
    <w:p>
      <w:pPr>
        <w:pStyle w:val="2"/>
        <w:sectPr>
          <w:footnotePr>
            <w:numFmt w:val="decimal"/>
          </w:footnotePr>
          <w:type w:val="continuous"/>
          <w:pgSz w:w="11900" w:h="16840"/>
          <w:pgMar w:top="2386" w:right="1336" w:bottom="1662" w:left="1499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4888865</wp:posOffset>
                </wp:positionH>
                <wp:positionV relativeFrom="paragraph">
                  <wp:posOffset>361315</wp:posOffset>
                </wp:positionV>
                <wp:extent cx="1668780" cy="21463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1026" o:spt="202" type="#_x0000_t202" style="position:absolute;left:0pt;margin-left:384.95pt;margin-top:28.45pt;height:16.9pt;width:131.4pt;mso-position-horizontal-relative:page;mso-wrap-distance-bottom:0pt;mso-wrap-distance-left:9pt;mso-wrap-distance-right:9pt;mso-wrap-distance-top:0pt;mso-wrap-style:none;z-index:251660288;mso-width-relative:page;mso-height-relative:page;" filled="f" stroked="f" coordsize="21600,21600" o:gfxdata="UEsDBAoAAAAAAIdO4kAAAAAAAAAAAAAAAAAEAAAAZHJzL1BLAwQUAAAACACHTuJAv+Rb4dgAAAAK&#10;AQAADwAAAGRycy9kb3ducmV2LnhtbE2PsU7DMBCGdyTewTokNmqniKQJcTogGKnUloXNia9J2vgc&#10;2U4b3h53aqfT6T799/3lejYDO6PzvSUJyUIAQ2qs7qmV8LP/elkB80GRVoMllPCHHtbV40OpCm0v&#10;tMXzLrQshpAvlIQuhLHg3DcdGuUXdkSKt4N1RoW4upZrpy4x3Ax8KUTKjeopfujUiB8dNqfdZCQc&#10;vjen4+e0FcdWrPA3cTjXyUbK56dEvAMLOIcbDFf9qA5VdKrtRNqzQUKW5nlEJbylcV4B8brMgNUS&#10;cpEBr0p+X6H6B1BLAwQUAAAACACHTuJA2kEuIawBAABwAwAADgAAAGRycy9lMm9Eb2MueG1srVPB&#10;btswDL0P2D8Iui9OsiINjDjFhqBDgaId0O0DFFmKBUiiICqx8/elZCctuksPu8gUST0+PtKbu8FZ&#10;dlIRDfiGL2ZzzpSX0Bp/aPjfP/ff1pxhEr4VFrxq+Fkhv9t+/bLpQ62W0IFtVWQE4rHuQ8O7lEJd&#10;VSg75QTOIChPQQ3RiUTXeKjaKHpCd7ZazuerqofYhghSIZJ3Nwb5hBg/AwhaG6l2II9O+TSiRmVF&#10;opawMwH5trDVWsn0rDWqxGzDqdNUTipC9j6f1XYj6kMUoTNyoiA+Q+FDT04YT0WvUDuRBDtG8w+U&#10;MzICgk4zCa4aGymKUBeL+QdtXjoRVOmFpMZwFR3/H6x8Ov2OzLQNp7F74WjgpSpbZ2n6gDVlvATK&#10;ScNPGGhhLn4kZ+540NHlL/XCKE7Cnq/CqiExmR+tVuvbNYUkxZaLm9X3onz19jpETL8UOJaNhkca&#10;XNFTnB4xERNKvaTkYh7ujbXZnymOVLKVhv0w8d5DeybaPc224Z5WmTP74Em6vAYXI16M/WSM4D+O&#10;CbQpdTPqCDUVo0EUOtPS5Em/v5estx9l+wp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/5Fvh2AAA&#10;AAoBAAAPAAAAAAAAAAEAIAAAACIAAABkcnMvZG93bnJldi54bWxQSwECFAAUAAAACACHTuJA2kEu&#10;IawBAABw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sectPr>
      <w:footnotePr>
        <w:numFmt w:val="decimal"/>
      </w:footnotePr>
      <w:pgSz w:w="11900" w:h="16840"/>
      <w:pgMar w:top="14085" w:right="1464" w:bottom="1619" w:left="1514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 PL UKai CN">
    <w:altName w:val="Arial Unicode MS"/>
    <w:panose1 w:val="02000503000000000000"/>
    <w:charset w:val="86"/>
    <w:family w:val="script"/>
    <w:pitch w:val="default"/>
    <w:sig w:usb0="00000000" w:usb1="00000000" w:usb2="00000036" w:usb3="00000000" w:csb0="2016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6003925</wp:posOffset>
              </wp:positionH>
              <wp:positionV relativeFrom="page">
                <wp:posOffset>9863455</wp:posOffset>
              </wp:positionV>
              <wp:extent cx="60325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72.75pt;margin-top:776.65pt;height:10.1pt;width:47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422DQdgAAAAO&#10;AQAADwAAAGRycy9kb3ducmV2LnhtbE2PwU7DMBBE70j8g7VI3Khd0tAS4vRQiQs3CkLi5sbbOMJe&#10;R7abJn+Pc4LjzjzNztT7yVk2Yoi9JwnrlQCG1HrdUyfh8+P1YQcsJkVaWU8oYcYI++b2plaV9ld6&#10;x/GYOpZDKFZKgklpqDiPrUGn4soPSNk7++BUymfouA7qmsOd5Y9CPHGnesofjBrwYLD9OV6chO30&#10;5XGIeMDv89gG0887+zZLeX+3Fi/AEk7pD4alfq4OTe508hfSkVkJz5uyzGg2yrIogC2I2IisnRZt&#10;W5TAm5r/n9H8AlBLAwQUAAAACACHTuJAeEMTGKwBAABvAwAADgAAAGRycy9lMm9Eb2MueG1srVPB&#10;btswDL0P6D8Iujd2XKwrjDjFhqDFgGEb0O0DFFmKBUiiICqx8/ejZCcduksPu8g0Sb/3+ChvHidn&#10;2UlFNOA7vl7VnCkvoTf+0PHfv55uHzjDJHwvLHjV8bNC/ri9+bAZQ6saGMD2KjIC8diOoeNDSqGt&#10;KpSDcgJXEJSnooboRKLXeKj6KEZCd7Zq6vq+GiH2IYJUiJTdzUW+IMb3AILWRqodyKNTPs2oUVmR&#10;aCQcTEC+LWq1VjL90BpVYrbjNGkqJ5FQvM9ntd2I9hBFGIxcJIj3SHgzkxPGE+kVaieSYMdo/oFy&#10;RkZA0GklwVXzIMURmmJdv/HmZRBBlVnIagxX0/H/wcrvp5+RmZ5uAmdeOFp4YWXrbM0YsKWOl0A9&#10;afoCU25b8kjJPPGko8tPmoVRnYw9X41VU2KSkvf1XfORKpJK6+ah+VSMr14/DhHTswLHctDxSHsr&#10;dorTN0xESK2Xlszl4clYm/NZ4awkR2naT4u8PfRnUj3Sajvu6SZzZr96ci7fgksQL8F+CTI4hs/H&#10;RASFN6POUAsZ7aHIWe5MXvTf76Xr9T/Z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jbYNB2AAA&#10;AA4BAAAPAAAAAAAAAAEAIAAAACIAAABkcnMvZG93bnJldi54bWxQSwECFAAUAAAACACHTuJAeEMT&#10;GK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9859010</wp:posOffset>
              </wp:positionV>
              <wp:extent cx="608330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78.2pt;margin-top:776.3pt;height:10.1pt;width:47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1/WdNcAAAAN&#10;AQAADwAAAGRycy9kb3ducmV2LnhtbE2PzU7DMBCE70i8g7WVuFGnFkmjEKeHSly4URASNzfZxlH9&#10;E9lumrw9mxPcdnZHs9/Uh9kaNmGIg3cSdtsMGLrWd4PrJXx9vj2XwGJSrlPGO5SwYIRD8/hQq6rz&#10;d/eB0yn1jEJcrJQEndJYcR5bjVbFrR/R0e3ig1WJZOh5F9Sdwq3hIssKbtXg6INWIx41ttfTzUrY&#10;z98ex4hH/LlMbdDDUpr3RcqnzS57BZZwTn9mWPEJHRpiOvub6yIzpPPihazrkIsCGFlELgSw87ra&#10;ixJ4U/P/LZpfUEsDBBQAAAAIAIdO4kC+vsxorAEAAG8DAAAOAAAAZHJzL2Uyb0RvYy54bWytU8Fu&#10;2zAMvQ/oPwi6N3YSoAuMOMWGoEWBYRvQ7QMUWYoFSKIgKrHz96NkJx26Sw+7yDRJP773KG8fR2fZ&#10;WUU04Fu+XNScKS+hM/7Y8t+/nu43nGESvhMWvGr5RSF/3N192g6hUSvowXYqMgLx2Ayh5X1Koakq&#10;lL1yAhcQlKeihuhEotd4rLooBkJ3tlrV9UM1QOxCBKkQKbufinxGjB8BBK2NVHuQJ6d8mlCjsiKR&#10;JOxNQL4rbLVWMv3QGlVituWkNJWThlB8yGe124rmGEXojZwpiI9QeKfJCeNp6A1qL5Jgp2j+gXJG&#10;RkDQaSHBVZOQ4gipWNbvvHntRVBFC1mN4WY6/j9Y+f38MzLTtXzNmReOFl6msnW2ZgjYUMdroJ40&#10;foWRLsw1j5TMikcdXX6SFkZ1MvZyM1aNiUlKPtSb9ZoqkkrL1Wb1uRhfvX0cIqZnBY7loOWR9lbs&#10;FOdvmIgItV5b8iwPT8banM8MJyY5SuNhnGkfoLsQ64FW23JPN5kz++LJuXwLrkG8Boc5yOAYvpwS&#10;DShzM+oENQ+jPRQ6853Ji/77vXS9/Se7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Nf1nTXAAAA&#10;DQEAAA8AAAAAAAAAAQAgAAAAIgAAAGRycy9kb3ducmV2LnhtbFBLAQIUABQAAAAIAIdO4kC+vsxo&#10;rAEAAG8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5968365</wp:posOffset>
              </wp:positionH>
              <wp:positionV relativeFrom="page">
                <wp:posOffset>9899015</wp:posOffset>
              </wp:positionV>
              <wp:extent cx="612775" cy="1231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一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69.95pt;margin-top:779.45pt;height:9.7pt;width:4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pzkfldkAAAAO&#10;AQAADwAAAGRycy9kb3ducmV2LnhtbE2PMU/DMBCFdyT+g3VIbNQuoW0S4nSoxMJGqZDY3PgaR8Tn&#10;yHbT5N/jTLDd3Xt6971qP9mejehD50jCeiWAITVOd9RKOH2+PeXAQlSkVe8IJcwYYF/f31Wq1O5G&#10;HzgeY8tSCIVSSTAxDiXnoTFoVVi5ASlpF+etimn1Ldde3VK47fmzEFtuVUfpg1EDHgw2P8erlbCb&#10;vhwOAQ/4fRkbb7o5799nKR8f1uIVWMQp/plhwU/oUCems7uSDqyXUGRFkaxJ2GzyNC0WkW1fgJ2X&#10;2y7PgNcV/1+j/gVQSwMEFAAAAAgAh07iQFIsOHStAQAAbwMAAA4AAABkcnMvZTJvRG9jLnhtbK1T&#10;wW7bMAy9D+g/CLo3jjO03Yw4RYegxYBhG9DtAxRZigVIoiAqsfP3o2QnLbpLD73INEm/9/gor+9H&#10;Z9lRRTTgW14vlpwpL6Ezft/yv38er79whkn4TljwquUnhfx+c/VpPYRGraAH26nICMRjM4SW9ymF&#10;pqpQ9soJXEBQnooaohOJXuO+6qIYCN3ZarVc3lYDxC5EkAqRstupyGfE+B5A0NpItQV5cMqnCTUq&#10;KxKNhL0JyDdFrdZKpl9ao0rMtpwmTeUkEop3+aw2a9Hsowi9kbME8R4Jb2ZywngivUBtRRLsEM1/&#10;UM7ICAg6LSS4ahqkOEJT1Ms33jz3IqgyC1mN4WI6fhys/Hn8HZnpWn7DmReOFl5Y2U22ZgjYUMdz&#10;oJ40foORLsw5j5TME486uvykWRjVydjTxVg1JiYpeVuv7u6IQFKpXn2uvxbjq5ePQ8T0pMCxHLQ8&#10;0t6KneL4AxMJodZzS+by8GiszfmscFKSozTuxln2DroTqR5otS33dJM5s989OZdvwTmI52A3Bxkc&#10;w8MhEUHhzagT1ExGeyhy5juTF/36vXS9/Ceb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c5H5XZ&#10;AAAADgEAAA8AAAAAAAAAAQAgAAAAIgAAAGRycy9kb3ducmV2LnhtbFBLAQIUABQAAAAIAIdO4kBS&#10;LDh0rQEAAG8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一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52A339D"/>
    <w:rsid w:val="1A4412BD"/>
    <w:rsid w:val="1CB15F60"/>
    <w:rsid w:val="472C6EB0"/>
    <w:rsid w:val="532479E1"/>
    <w:rsid w:val="752506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宋体" w:eastAsia="仿宋_GB2312" w:cs="Courier New"/>
      <w:b/>
      <w:bCs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Heading #1|1_"/>
    <w:basedOn w:val="6"/>
    <w:link w:val="8"/>
    <w:qFormat/>
    <w:uiPriority w:val="0"/>
    <w:rPr>
      <w:rFonts w:ascii="宋体" w:hAnsi="宋体" w:eastAsia="宋体" w:cs="宋体"/>
      <w:color w:val="F05D4A"/>
      <w:sz w:val="124"/>
      <w:szCs w:val="124"/>
      <w:u w:val="non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link w:val="7"/>
    <w:qFormat/>
    <w:uiPriority w:val="0"/>
    <w:pPr>
      <w:widowControl w:val="0"/>
      <w:shd w:val="clear" w:color="auto" w:fill="auto"/>
      <w:jc w:val="center"/>
      <w:outlineLvl w:val="0"/>
    </w:pPr>
    <w:rPr>
      <w:rFonts w:ascii="宋体" w:hAnsi="宋体" w:eastAsia="宋体" w:cs="宋体"/>
      <w:color w:val="F05D4A"/>
      <w:sz w:val="124"/>
      <w:szCs w:val="124"/>
      <w:u w:val="none"/>
      <w:shd w:val="clear" w:color="auto" w:fill="auto"/>
      <w:lang w:val="zh-TW" w:eastAsia="zh-TW" w:bidi="zh-TW"/>
    </w:rPr>
  </w:style>
  <w:style w:type="character" w:customStyle="1" w:styleId="9">
    <w:name w:val="Heading #2|1_"/>
    <w:basedOn w:val="6"/>
    <w:link w:val="10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link w:val="9"/>
    <w:qFormat/>
    <w:uiPriority w:val="0"/>
    <w:pPr>
      <w:widowControl w:val="0"/>
      <w:shd w:val="clear" w:color="auto" w:fill="auto"/>
      <w:spacing w:after="290" w:line="605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6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3">
    <w:name w:val="Body text|1_"/>
    <w:basedOn w:val="6"/>
    <w:link w:val="14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Body text|3_"/>
    <w:basedOn w:val="6"/>
    <w:link w:val="16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Body text|3"/>
    <w:basedOn w:val="1"/>
    <w:link w:val="15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7">
    <w:name w:val="Body text|2_"/>
    <w:basedOn w:val="6"/>
    <w:link w:val="18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widowControl w:val="0"/>
      <w:shd w:val="clear" w:color="auto" w:fill="auto"/>
      <w:spacing w:after="140"/>
      <w:ind w:firstLine="2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2021-10-28T08:03:00Z</dcterms:created>
  <dc:creator>Administrator</dc:creator>
  <cp:lastModifiedBy>彭镜元</cp:lastModifiedBy>
  <dcterms:modified xsi:type="dcterms:W3CDTF">2021-11-02T02:13:54Z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79A4C0C63D7F4AACAB2C7C0552F5CFC8</vt:lpwstr>
  </property>
</Properties>
</file>